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7C91" w14:textId="77777777" w:rsidR="005F5258" w:rsidRDefault="005F5258" w:rsidP="005F5258">
      <w:pPr>
        <w:spacing w:after="0" w:line="240" w:lineRule="auto"/>
        <w:rPr>
          <w:rFonts w:ascii="Arial" w:eastAsia="Times New Roman" w:hAnsi="Arial" w:cs="Arial"/>
          <w:b/>
          <w:bCs/>
          <w:sz w:val="30"/>
          <w:szCs w:val="30"/>
        </w:rPr>
      </w:pPr>
      <w:r>
        <w:rPr>
          <w:rFonts w:ascii="inherit" w:hAnsi="inherit"/>
          <w:b/>
          <w:bCs/>
          <w:color w:val="00B8E4"/>
          <w:sz w:val="44"/>
          <w:szCs w:val="36"/>
        </w:rPr>
        <w:t xml:space="preserve">La seguridad de sus ahorros </w:t>
      </w:r>
    </w:p>
    <w:p w14:paraId="4595B319" w14:textId="77777777" w:rsidR="005F5258" w:rsidRDefault="005F5258" w:rsidP="005F5258">
      <w:pPr>
        <w:spacing w:after="0" w:line="240" w:lineRule="auto"/>
        <w:rPr>
          <w:rFonts w:ascii="Arial" w:eastAsia="Times New Roman" w:hAnsi="Arial" w:cs="Arial"/>
          <w:b/>
          <w:bCs/>
          <w:sz w:val="30"/>
          <w:szCs w:val="30"/>
          <w:lang w:eastAsia="en-GB"/>
        </w:rPr>
      </w:pPr>
    </w:p>
    <w:p w14:paraId="1B0499A1" w14:textId="7B8D027B" w:rsidR="005F5258" w:rsidRPr="005F5258" w:rsidRDefault="005F5258" w:rsidP="005F5258">
      <w:pPr>
        <w:spacing w:after="0" w:line="240" w:lineRule="auto"/>
        <w:rPr>
          <w:rFonts w:ascii="Arial" w:eastAsia="Times New Roman" w:hAnsi="Arial" w:cs="Arial"/>
          <w:bCs/>
          <w:sz w:val="30"/>
          <w:szCs w:val="30"/>
        </w:rPr>
      </w:pPr>
      <w:r>
        <w:rPr>
          <w:rFonts w:ascii="Arial" w:hAnsi="Arial"/>
          <w:bCs/>
          <w:sz w:val="30"/>
          <w:szCs w:val="30"/>
        </w:rPr>
        <w:t xml:space="preserve">El plan de The </w:t>
      </w:r>
      <w:proofErr w:type="spellStart"/>
      <w:r>
        <w:rPr>
          <w:rFonts w:ascii="Arial" w:hAnsi="Arial"/>
          <w:bCs/>
          <w:sz w:val="30"/>
          <w:szCs w:val="30"/>
        </w:rPr>
        <w:t>People’s</w:t>
      </w:r>
      <w:proofErr w:type="spellEnd"/>
      <w:r>
        <w:rPr>
          <w:rFonts w:ascii="Arial" w:hAnsi="Arial"/>
          <w:bCs/>
          <w:sz w:val="30"/>
          <w:szCs w:val="30"/>
        </w:rPr>
        <w:t xml:space="preserve"> </w:t>
      </w:r>
      <w:proofErr w:type="spellStart"/>
      <w:r>
        <w:rPr>
          <w:rFonts w:ascii="Arial" w:hAnsi="Arial"/>
          <w:bCs/>
          <w:sz w:val="30"/>
          <w:szCs w:val="30"/>
        </w:rPr>
        <w:t>Pension</w:t>
      </w:r>
      <w:proofErr w:type="spellEnd"/>
      <w:r>
        <w:rPr>
          <w:rFonts w:ascii="Arial" w:hAnsi="Arial"/>
          <w:bCs/>
          <w:sz w:val="30"/>
          <w:szCs w:val="30"/>
        </w:rPr>
        <w:t xml:space="preserve"> (el «Plan») es un plan de pensiones laboral con aportaciones definidas. </w:t>
      </w:r>
      <w:proofErr w:type="spellStart"/>
      <w:r>
        <w:rPr>
          <w:rFonts w:ascii="Arial" w:hAnsi="Arial"/>
          <w:bCs/>
          <w:sz w:val="30"/>
          <w:szCs w:val="30"/>
        </w:rPr>
        <w:t>People’s</w:t>
      </w:r>
      <w:proofErr w:type="spellEnd"/>
      <w:r>
        <w:rPr>
          <w:rFonts w:ascii="Arial" w:hAnsi="Arial"/>
          <w:bCs/>
          <w:sz w:val="30"/>
          <w:szCs w:val="30"/>
        </w:rPr>
        <w:t xml:space="preserve"> </w:t>
      </w:r>
      <w:proofErr w:type="spellStart"/>
      <w:r>
        <w:rPr>
          <w:rFonts w:ascii="Arial" w:hAnsi="Arial"/>
          <w:bCs/>
          <w:sz w:val="30"/>
          <w:szCs w:val="30"/>
        </w:rPr>
        <w:t>Financial</w:t>
      </w:r>
      <w:proofErr w:type="spellEnd"/>
      <w:r>
        <w:rPr>
          <w:rFonts w:ascii="Arial" w:hAnsi="Arial"/>
          <w:bCs/>
          <w:sz w:val="30"/>
          <w:szCs w:val="30"/>
        </w:rPr>
        <w:t xml:space="preserve"> Services </w:t>
      </w:r>
      <w:proofErr w:type="spellStart"/>
      <w:r>
        <w:rPr>
          <w:rFonts w:ascii="Arial" w:hAnsi="Arial"/>
          <w:bCs/>
          <w:sz w:val="30"/>
          <w:szCs w:val="30"/>
        </w:rPr>
        <w:t>Limited</w:t>
      </w:r>
      <w:proofErr w:type="spellEnd"/>
      <w:r>
        <w:rPr>
          <w:rFonts w:ascii="Arial" w:hAnsi="Arial"/>
          <w:bCs/>
          <w:sz w:val="30"/>
          <w:szCs w:val="30"/>
        </w:rPr>
        <w:t xml:space="preserve"> es el proveedor del Plan y forma parte del </w:t>
      </w:r>
      <w:proofErr w:type="spellStart"/>
      <w:r w:rsidR="006C0197" w:rsidRPr="006C0197">
        <w:rPr>
          <w:rFonts w:ascii="Arial" w:hAnsi="Arial"/>
          <w:bCs/>
          <w:sz w:val="30"/>
          <w:szCs w:val="30"/>
        </w:rPr>
        <w:t>People’s</w:t>
      </w:r>
      <w:proofErr w:type="spellEnd"/>
      <w:r w:rsidR="006C0197" w:rsidRPr="006C0197">
        <w:rPr>
          <w:rFonts w:ascii="Arial" w:hAnsi="Arial"/>
          <w:bCs/>
          <w:sz w:val="30"/>
          <w:szCs w:val="30"/>
        </w:rPr>
        <w:t xml:space="preserve"> </w:t>
      </w:r>
      <w:proofErr w:type="spellStart"/>
      <w:r w:rsidR="006C0197" w:rsidRPr="006C0197">
        <w:rPr>
          <w:rFonts w:ascii="Arial" w:hAnsi="Arial"/>
          <w:bCs/>
          <w:sz w:val="30"/>
          <w:szCs w:val="30"/>
        </w:rPr>
        <w:t>Partnership</w:t>
      </w:r>
      <w:proofErr w:type="spellEnd"/>
      <w:r w:rsidR="006C0197" w:rsidRPr="006C0197">
        <w:rPr>
          <w:rFonts w:ascii="Arial" w:hAnsi="Arial"/>
          <w:bCs/>
          <w:sz w:val="30"/>
          <w:szCs w:val="30"/>
        </w:rPr>
        <w:t xml:space="preserve"> </w:t>
      </w:r>
      <w:proofErr w:type="spellStart"/>
      <w:r w:rsidR="006C0197" w:rsidRPr="006C0197">
        <w:rPr>
          <w:rFonts w:ascii="Arial" w:hAnsi="Arial"/>
          <w:bCs/>
          <w:sz w:val="30"/>
          <w:szCs w:val="30"/>
        </w:rPr>
        <w:t>Group</w:t>
      </w:r>
      <w:proofErr w:type="spellEnd"/>
      <w:r>
        <w:rPr>
          <w:rFonts w:ascii="Arial" w:hAnsi="Arial"/>
          <w:bCs/>
          <w:sz w:val="30"/>
          <w:szCs w:val="30"/>
        </w:rPr>
        <w:t>, un grupo de empresas sin ánimo de lucro que ofrecen productos financieros y beneficios para trabajadores. Su empleador es una de las numerosas empresas que utilizan el Plan como su plan de pensiones laboral.</w:t>
      </w:r>
    </w:p>
    <w:p w14:paraId="1A867D46" w14:textId="77777777" w:rsidR="005F5258" w:rsidRPr="005F5258" w:rsidRDefault="005F5258" w:rsidP="005F5258">
      <w:pPr>
        <w:spacing w:after="0" w:line="240" w:lineRule="auto"/>
        <w:rPr>
          <w:rFonts w:ascii="Arial" w:eastAsia="Times New Roman" w:hAnsi="Arial" w:cs="Arial"/>
          <w:sz w:val="30"/>
          <w:szCs w:val="30"/>
        </w:rPr>
      </w:pPr>
      <w:r>
        <w:rPr>
          <w:rFonts w:ascii="Arial" w:hAnsi="Arial"/>
          <w:b/>
          <w:bCs/>
          <w:sz w:val="30"/>
          <w:szCs w:val="30"/>
        </w:rPr>
        <w:br/>
      </w:r>
      <w:hyperlink r:id="rId5" w:history="1">
        <w:r>
          <w:rPr>
            <w:rFonts w:ascii="Arial" w:hAnsi="Arial"/>
            <w:b/>
            <w:bCs/>
            <w:color w:val="800080"/>
            <w:sz w:val="30"/>
            <w:szCs w:val="30"/>
            <w:u w:val="single"/>
          </w:rPr>
          <w:t>Información en otros idiomas</w:t>
        </w:r>
      </w:hyperlink>
      <w:hyperlink r:id="rId6" w:history="1">
        <w:r>
          <w:rPr>
            <w:rFonts w:ascii="Arial" w:hAnsi="Arial"/>
            <w:b/>
            <w:bCs/>
            <w:color w:val="800080"/>
            <w:sz w:val="30"/>
            <w:szCs w:val="30"/>
            <w:u w:val="single"/>
          </w:rPr>
          <w:br/>
        </w:r>
        <w:r>
          <w:rPr>
            <w:rFonts w:ascii="Arial" w:hAnsi="Arial"/>
            <w:b/>
            <w:bCs/>
            <w:color w:val="800080"/>
            <w:sz w:val="30"/>
            <w:szCs w:val="30"/>
            <w:u w:val="single"/>
          </w:rPr>
          <w:br/>
        </w:r>
      </w:hyperlink>
    </w:p>
    <w:p w14:paraId="34809A5B" w14:textId="3CB5A2CE" w:rsidR="005F5258" w:rsidRPr="00263612" w:rsidRDefault="00263612" w:rsidP="005F5258">
      <w:pPr>
        <w:spacing w:after="100" w:afterAutospacing="1" w:line="240" w:lineRule="auto"/>
        <w:outlineLvl w:val="1"/>
        <w:rPr>
          <w:rFonts w:ascii="inherit" w:eastAsia="Times New Roman" w:hAnsi="inherit" w:cs="Times New Roman"/>
          <w:b/>
          <w:bCs/>
          <w:color w:val="00B8E4"/>
          <w:sz w:val="36"/>
          <w:szCs w:val="36"/>
        </w:rPr>
      </w:pPr>
      <w:r>
        <w:rPr>
          <w:rFonts w:ascii="inherit" w:hAnsi="inherit"/>
          <w:b/>
          <w:bCs/>
          <w:color w:val="00B8E4"/>
          <w:sz w:val="36"/>
          <w:szCs w:val="36"/>
        </w:rPr>
        <w:t xml:space="preserve">Antecedentes </w:t>
      </w:r>
    </w:p>
    <w:p w14:paraId="44AE6A2D" w14:textId="6BA518A0"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 xml:space="preserve">Puesto que el Plan se ha constituido bajo fideicomiso, la cantidad total abonada a su pensión y los activos del Plan están separadas jurídicamente tanto de </w:t>
      </w:r>
      <w:proofErr w:type="spellStart"/>
      <w:r w:rsidR="006C0197" w:rsidRPr="006C0197">
        <w:rPr>
          <w:rFonts w:ascii="Times New Roman" w:hAnsi="Times New Roman"/>
          <w:color w:val="5F6062"/>
          <w:sz w:val="24"/>
          <w:szCs w:val="24"/>
        </w:rPr>
        <w:t>People’s</w:t>
      </w:r>
      <w:proofErr w:type="spellEnd"/>
      <w:r w:rsidR="006C0197" w:rsidRPr="006C0197">
        <w:rPr>
          <w:rFonts w:ascii="Times New Roman" w:hAnsi="Times New Roman"/>
          <w:color w:val="5F6062"/>
          <w:sz w:val="24"/>
          <w:szCs w:val="24"/>
        </w:rPr>
        <w:t xml:space="preserve"> </w:t>
      </w:r>
      <w:proofErr w:type="spellStart"/>
      <w:r w:rsidR="006C0197" w:rsidRPr="006C0197">
        <w:rPr>
          <w:rFonts w:ascii="Times New Roman" w:hAnsi="Times New Roman"/>
          <w:color w:val="5F6062"/>
          <w:sz w:val="24"/>
          <w:szCs w:val="24"/>
        </w:rPr>
        <w:t>Partnership</w:t>
      </w:r>
      <w:proofErr w:type="spellEnd"/>
      <w:r w:rsidR="006C0197" w:rsidRPr="006C0197">
        <w:rPr>
          <w:rFonts w:ascii="Times New Roman" w:hAnsi="Times New Roman"/>
          <w:color w:val="5F6062"/>
          <w:sz w:val="24"/>
          <w:szCs w:val="24"/>
        </w:rPr>
        <w:t xml:space="preserve"> </w:t>
      </w:r>
      <w:r>
        <w:rPr>
          <w:rFonts w:ascii="Times New Roman" w:hAnsi="Times New Roman"/>
          <w:color w:val="5F6062"/>
          <w:sz w:val="24"/>
          <w:szCs w:val="24"/>
        </w:rPr>
        <w:t>como de su empleador. Esto garantiza la seguridad de su dinero (ver el apartado «¿Qué ocurre si algo sale mal?» más adelante para obtener más información).</w:t>
      </w:r>
    </w:p>
    <w:p w14:paraId="722C275F" w14:textId="37AE9A5A"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 xml:space="preserve">The </w:t>
      </w:r>
      <w:proofErr w:type="spellStart"/>
      <w:r>
        <w:rPr>
          <w:rFonts w:ascii="Times New Roman" w:hAnsi="Times New Roman"/>
          <w:color w:val="5F6062"/>
          <w:sz w:val="24"/>
          <w:szCs w:val="24"/>
        </w:rPr>
        <w:t>People’s</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Pension</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Trustee</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Limited</w:t>
      </w:r>
      <w:proofErr w:type="spellEnd"/>
      <w:r>
        <w:rPr>
          <w:rFonts w:ascii="Times New Roman" w:hAnsi="Times New Roman"/>
          <w:color w:val="5F6062"/>
          <w:sz w:val="24"/>
          <w:szCs w:val="24"/>
        </w:rPr>
        <w:t xml:space="preserve"> (el Fiduciario), cuyos directores son independientes de </w:t>
      </w:r>
      <w:proofErr w:type="spellStart"/>
      <w:r w:rsidR="006C0197" w:rsidRPr="006C0197">
        <w:rPr>
          <w:rFonts w:ascii="Times New Roman" w:hAnsi="Times New Roman"/>
          <w:color w:val="5F6062"/>
          <w:sz w:val="24"/>
          <w:szCs w:val="24"/>
        </w:rPr>
        <w:t>People’s</w:t>
      </w:r>
      <w:proofErr w:type="spellEnd"/>
      <w:r w:rsidR="006C0197" w:rsidRPr="006C0197">
        <w:rPr>
          <w:rFonts w:ascii="Times New Roman" w:hAnsi="Times New Roman"/>
          <w:color w:val="5F6062"/>
          <w:sz w:val="24"/>
          <w:szCs w:val="24"/>
        </w:rPr>
        <w:t xml:space="preserve"> </w:t>
      </w:r>
      <w:proofErr w:type="spellStart"/>
      <w:r w:rsidR="006C0197" w:rsidRPr="006C0197">
        <w:rPr>
          <w:rFonts w:ascii="Times New Roman" w:hAnsi="Times New Roman"/>
          <w:color w:val="5F6062"/>
          <w:sz w:val="24"/>
          <w:szCs w:val="24"/>
        </w:rPr>
        <w:t>Partnership</w:t>
      </w:r>
      <w:proofErr w:type="spellEnd"/>
      <w:r w:rsidR="006C0197" w:rsidRPr="006C0197">
        <w:rPr>
          <w:rFonts w:ascii="Times New Roman" w:hAnsi="Times New Roman"/>
          <w:color w:val="5F6062"/>
          <w:sz w:val="24"/>
          <w:szCs w:val="24"/>
        </w:rPr>
        <w:t xml:space="preserve"> </w:t>
      </w:r>
      <w:r>
        <w:rPr>
          <w:rFonts w:ascii="Times New Roman" w:hAnsi="Times New Roman"/>
          <w:color w:val="5F6062"/>
          <w:sz w:val="24"/>
          <w:szCs w:val="24"/>
        </w:rPr>
        <w:t>,</w:t>
      </w:r>
      <w:r>
        <w:t xml:space="preserve"> </w:t>
      </w:r>
      <w:r>
        <w:rPr>
          <w:rFonts w:ascii="Times New Roman" w:hAnsi="Times New Roman"/>
          <w:color w:val="5F6062"/>
          <w:sz w:val="24"/>
          <w:szCs w:val="24"/>
        </w:rPr>
        <w:t>gestionan el plan con arreglo a las normas y al instrumento de fideicomiso que lo regulan. El Fiduciario también es responsable de la inversión de la cantidad total abonada a su pensión, de acuerdo con cualesquiera instrucciones que usted haya podido proporcionar. El deber del Fiduciario consiste en seguir las condiciones del fideicomiso y actuar en beneficio de los miembros del plan y de otros beneficiarios.</w:t>
      </w:r>
    </w:p>
    <w:p w14:paraId="22EF5E5A" w14:textId="29D6D5E7"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 xml:space="preserve">El Fiduciario ha nombrado a </w:t>
      </w:r>
      <w:proofErr w:type="spellStart"/>
      <w:r w:rsidR="00333A59" w:rsidRPr="00333A59">
        <w:rPr>
          <w:rFonts w:ascii="Times New Roman" w:hAnsi="Times New Roman"/>
          <w:color w:val="5F6062"/>
          <w:sz w:val="24"/>
          <w:szCs w:val="24"/>
        </w:rPr>
        <w:t>People’s</w:t>
      </w:r>
      <w:proofErr w:type="spellEnd"/>
      <w:r w:rsidR="00333A59" w:rsidRPr="00333A59">
        <w:rPr>
          <w:rFonts w:ascii="Times New Roman" w:hAnsi="Times New Roman"/>
          <w:color w:val="5F6062"/>
          <w:sz w:val="24"/>
          <w:szCs w:val="24"/>
        </w:rPr>
        <w:t xml:space="preserve"> </w:t>
      </w:r>
      <w:proofErr w:type="spellStart"/>
      <w:r w:rsidR="00333A59" w:rsidRPr="00333A59">
        <w:rPr>
          <w:rFonts w:ascii="Times New Roman" w:hAnsi="Times New Roman"/>
          <w:color w:val="5F6062"/>
          <w:sz w:val="24"/>
          <w:szCs w:val="24"/>
        </w:rPr>
        <w:t>Administration</w:t>
      </w:r>
      <w:proofErr w:type="spellEnd"/>
      <w:r w:rsidR="00333A59" w:rsidRPr="00333A59">
        <w:rPr>
          <w:rFonts w:ascii="Times New Roman" w:hAnsi="Times New Roman"/>
          <w:color w:val="5F6062"/>
          <w:sz w:val="24"/>
          <w:szCs w:val="24"/>
        </w:rPr>
        <w:t xml:space="preserve"> Services </w:t>
      </w:r>
      <w:proofErr w:type="spellStart"/>
      <w:r w:rsidR="00333A59" w:rsidRPr="00333A59">
        <w:rPr>
          <w:rFonts w:ascii="Times New Roman" w:hAnsi="Times New Roman"/>
          <w:color w:val="5F6062"/>
          <w:sz w:val="24"/>
          <w:szCs w:val="24"/>
        </w:rPr>
        <w:t>Limited</w:t>
      </w:r>
      <w:proofErr w:type="spellEnd"/>
      <w:r w:rsidR="00333A59">
        <w:rPr>
          <w:rStyle w:val="cf01"/>
        </w:rPr>
        <w:t xml:space="preserve"> </w:t>
      </w:r>
      <w:r>
        <w:rPr>
          <w:rFonts w:ascii="Times New Roman" w:hAnsi="Times New Roman"/>
          <w:color w:val="5F6062"/>
          <w:sz w:val="24"/>
          <w:szCs w:val="24"/>
        </w:rPr>
        <w:t xml:space="preserve">(otra empresa del </w:t>
      </w:r>
      <w:proofErr w:type="spellStart"/>
      <w:r w:rsidR="00333A59" w:rsidRPr="00333A59">
        <w:rPr>
          <w:rFonts w:ascii="Times New Roman" w:hAnsi="Times New Roman"/>
          <w:color w:val="5F6062"/>
          <w:sz w:val="24"/>
          <w:szCs w:val="24"/>
        </w:rPr>
        <w:t>People’s</w:t>
      </w:r>
      <w:proofErr w:type="spellEnd"/>
      <w:r w:rsidR="00333A59" w:rsidRPr="00333A59">
        <w:rPr>
          <w:rFonts w:ascii="Times New Roman" w:hAnsi="Times New Roman"/>
          <w:color w:val="5F6062"/>
          <w:sz w:val="24"/>
          <w:szCs w:val="24"/>
        </w:rPr>
        <w:t xml:space="preserve"> </w:t>
      </w:r>
      <w:proofErr w:type="spellStart"/>
      <w:r w:rsidR="00333A59" w:rsidRPr="00333A59">
        <w:rPr>
          <w:rFonts w:ascii="Times New Roman" w:hAnsi="Times New Roman"/>
          <w:color w:val="5F6062"/>
          <w:sz w:val="24"/>
          <w:szCs w:val="24"/>
        </w:rPr>
        <w:t>Partnership</w:t>
      </w:r>
      <w:proofErr w:type="spellEnd"/>
      <w:r w:rsidR="00333A59" w:rsidRPr="00333A59">
        <w:rPr>
          <w:rFonts w:ascii="Times New Roman" w:hAnsi="Times New Roman"/>
          <w:color w:val="5F6062"/>
          <w:sz w:val="24"/>
          <w:szCs w:val="24"/>
        </w:rPr>
        <w:t xml:space="preserve"> </w:t>
      </w:r>
      <w:proofErr w:type="spellStart"/>
      <w:r w:rsidR="00333A59" w:rsidRPr="00333A59">
        <w:rPr>
          <w:rFonts w:ascii="Times New Roman" w:hAnsi="Times New Roman"/>
          <w:color w:val="5F6062"/>
          <w:sz w:val="24"/>
          <w:szCs w:val="24"/>
        </w:rPr>
        <w:t>Group</w:t>
      </w:r>
      <w:proofErr w:type="spellEnd"/>
      <w:r>
        <w:rPr>
          <w:rFonts w:ascii="Times New Roman" w:hAnsi="Times New Roman"/>
          <w:color w:val="5F6062"/>
          <w:sz w:val="24"/>
          <w:szCs w:val="24"/>
        </w:rPr>
        <w:t>) para que lleve a cabo la administración cotidiana del Plan.</w:t>
      </w:r>
    </w:p>
    <w:p w14:paraId="54035978" w14:textId="77777777" w:rsidR="005F5258" w:rsidRPr="005F5258" w:rsidRDefault="00333A59" w:rsidP="005F5258">
      <w:pPr>
        <w:spacing w:after="100" w:afterAutospacing="1" w:line="240" w:lineRule="auto"/>
        <w:rPr>
          <w:rFonts w:ascii="Times New Roman" w:eastAsia="Times New Roman" w:hAnsi="Times New Roman" w:cs="Times New Roman"/>
          <w:color w:val="5F6062"/>
          <w:sz w:val="24"/>
          <w:szCs w:val="24"/>
        </w:rPr>
      </w:pPr>
      <w:hyperlink r:id="rId7" w:history="1">
        <w:r w:rsidR="00B03FFB">
          <w:rPr>
            <w:rFonts w:ascii="Times New Roman" w:hAnsi="Times New Roman"/>
            <w:color w:val="03667E"/>
            <w:sz w:val="24"/>
            <w:szCs w:val="24"/>
            <w:u w:val="single"/>
          </w:rPr>
          <w:t xml:space="preserve">Conozca al fiduciario de The </w:t>
        </w:r>
        <w:proofErr w:type="spellStart"/>
        <w:r w:rsidR="00B03FFB">
          <w:rPr>
            <w:rFonts w:ascii="Times New Roman" w:hAnsi="Times New Roman"/>
            <w:color w:val="03667E"/>
            <w:sz w:val="24"/>
            <w:szCs w:val="24"/>
            <w:u w:val="single"/>
          </w:rPr>
          <w:t>People's</w:t>
        </w:r>
        <w:proofErr w:type="spellEnd"/>
        <w:r w:rsidR="00B03FFB">
          <w:rPr>
            <w:rFonts w:ascii="Times New Roman" w:hAnsi="Times New Roman"/>
            <w:color w:val="03667E"/>
            <w:sz w:val="24"/>
            <w:szCs w:val="24"/>
            <w:u w:val="single"/>
          </w:rPr>
          <w:t xml:space="preserve"> </w:t>
        </w:r>
        <w:proofErr w:type="spellStart"/>
        <w:r w:rsidR="00B03FFB">
          <w:rPr>
            <w:rFonts w:ascii="Times New Roman" w:hAnsi="Times New Roman"/>
            <w:color w:val="03667E"/>
            <w:sz w:val="24"/>
            <w:szCs w:val="24"/>
            <w:u w:val="single"/>
          </w:rPr>
          <w:t>Pension</w:t>
        </w:r>
        <w:proofErr w:type="spellEnd"/>
      </w:hyperlink>
    </w:p>
    <w:p w14:paraId="1F8C21F8" w14:textId="7C3305A6" w:rsidR="005F5258" w:rsidRPr="005F5258" w:rsidRDefault="00263612" w:rsidP="005F5258">
      <w:pPr>
        <w:spacing w:after="100" w:afterAutospacing="1" w:line="240" w:lineRule="auto"/>
        <w:outlineLvl w:val="1"/>
        <w:rPr>
          <w:rFonts w:ascii="inherit" w:eastAsia="Times New Roman" w:hAnsi="inherit" w:cs="Times New Roman"/>
          <w:b/>
          <w:bCs/>
          <w:color w:val="00B8E4"/>
          <w:sz w:val="36"/>
          <w:szCs w:val="36"/>
        </w:rPr>
      </w:pPr>
      <w:r w:rsidRPr="00263612">
        <w:rPr>
          <w:rFonts w:ascii="inherit" w:hAnsi="inherit"/>
          <w:b/>
          <w:bCs/>
          <w:color w:val="00B8E4"/>
          <w:sz w:val="36"/>
          <w:szCs w:val="36"/>
        </w:rPr>
        <w:t xml:space="preserve"> </w:t>
      </w:r>
      <w:r>
        <w:rPr>
          <w:rFonts w:ascii="inherit" w:hAnsi="inherit"/>
          <w:b/>
          <w:bCs/>
          <w:color w:val="00B8E4"/>
          <w:sz w:val="36"/>
          <w:szCs w:val="36"/>
        </w:rPr>
        <w:t xml:space="preserve">Normativa </w:t>
      </w:r>
    </w:p>
    <w:p w14:paraId="5DFFE49C" w14:textId="77777777"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La ley de pensiones a la que debe ceñirse el Plan es muy amplia e incorpora una serie de requisitos de protección de los miembros.</w:t>
      </w:r>
    </w:p>
    <w:p w14:paraId="3CF21362" w14:textId="613F932E"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 xml:space="preserve">Asimismo, el Plan está registrado en The </w:t>
      </w:r>
      <w:proofErr w:type="spellStart"/>
      <w:r>
        <w:rPr>
          <w:rFonts w:ascii="Times New Roman" w:hAnsi="Times New Roman"/>
          <w:color w:val="5F6062"/>
          <w:sz w:val="24"/>
          <w:szCs w:val="24"/>
        </w:rPr>
        <w:t>Pensions</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Regulator</w:t>
      </w:r>
      <w:proofErr w:type="spellEnd"/>
      <w:r>
        <w:rPr>
          <w:rFonts w:ascii="Times New Roman" w:hAnsi="Times New Roman"/>
          <w:color w:val="5F6062"/>
          <w:sz w:val="24"/>
          <w:szCs w:val="24"/>
        </w:rPr>
        <w:t xml:space="preserve">, el organismo regulador de los planes de pensiones laborales en el Reino Unido. The </w:t>
      </w:r>
      <w:proofErr w:type="spellStart"/>
      <w:r>
        <w:rPr>
          <w:rFonts w:ascii="Times New Roman" w:hAnsi="Times New Roman"/>
          <w:color w:val="5F6062"/>
          <w:sz w:val="24"/>
          <w:szCs w:val="24"/>
        </w:rPr>
        <w:t>Pensions</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Regulator</w:t>
      </w:r>
      <w:proofErr w:type="spellEnd"/>
      <w:r>
        <w:rPr>
          <w:rFonts w:ascii="Times New Roman" w:hAnsi="Times New Roman"/>
          <w:color w:val="5F6062"/>
          <w:sz w:val="24"/>
          <w:szCs w:val="24"/>
        </w:rPr>
        <w:t xml:space="preserve"> supervisa el funcionamiento de los planes de pensiones y puede intervenir en casos en los cuales los fiduciarios del plan, los empleadores o los asesores hayan incumplido sus obligaciones. Entre los objetivos de The </w:t>
      </w:r>
      <w:proofErr w:type="spellStart"/>
      <w:r>
        <w:rPr>
          <w:rFonts w:ascii="Times New Roman" w:hAnsi="Times New Roman"/>
          <w:color w:val="5F6062"/>
          <w:sz w:val="24"/>
          <w:szCs w:val="24"/>
        </w:rPr>
        <w:t>Pensions</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Regulator</w:t>
      </w:r>
      <w:proofErr w:type="spellEnd"/>
      <w:r>
        <w:rPr>
          <w:rFonts w:ascii="Times New Roman" w:hAnsi="Times New Roman"/>
          <w:color w:val="5F6062"/>
          <w:sz w:val="24"/>
          <w:szCs w:val="24"/>
        </w:rPr>
        <w:t xml:space="preserve"> se incluyen mejorar la confianza en las pensiones protegiendo los ahorros de sus miembros y fomentar las más estrictas normas de gestión de los planes de pensiones.</w:t>
      </w:r>
    </w:p>
    <w:p w14:paraId="2DDE60DB" w14:textId="5DCB4E78"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lastRenderedPageBreak/>
        <w:t xml:space="preserve">El Fiduciario se encarga de garantizar que el Plan se lleve a cabo de una manera que sea coherente con los Códigos de prácticas y las directrices emitidas por The </w:t>
      </w:r>
      <w:proofErr w:type="spellStart"/>
      <w:r>
        <w:rPr>
          <w:rFonts w:ascii="Times New Roman" w:hAnsi="Times New Roman"/>
          <w:color w:val="5F6062"/>
          <w:sz w:val="24"/>
          <w:szCs w:val="24"/>
        </w:rPr>
        <w:t>Pensions</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Regulator</w:t>
      </w:r>
      <w:proofErr w:type="spellEnd"/>
      <w:r>
        <w:rPr>
          <w:rFonts w:ascii="Times New Roman" w:hAnsi="Times New Roman"/>
          <w:color w:val="5F6062"/>
          <w:sz w:val="24"/>
          <w:szCs w:val="24"/>
        </w:rPr>
        <w:t>.</w:t>
      </w:r>
    </w:p>
    <w:p w14:paraId="47368B9F" w14:textId="2950EF47"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 xml:space="preserve">El Plan también está registrado a efectos fiscales con HM </w:t>
      </w:r>
      <w:proofErr w:type="spellStart"/>
      <w:r>
        <w:rPr>
          <w:rFonts w:ascii="Times New Roman" w:hAnsi="Times New Roman"/>
          <w:color w:val="5F6062"/>
          <w:sz w:val="24"/>
          <w:szCs w:val="24"/>
        </w:rPr>
        <w:t>Revenue</w:t>
      </w:r>
      <w:proofErr w:type="spellEnd"/>
      <w:r>
        <w:rPr>
          <w:rFonts w:ascii="Times New Roman" w:hAnsi="Times New Roman"/>
          <w:color w:val="5F6062"/>
          <w:sz w:val="24"/>
          <w:szCs w:val="24"/>
        </w:rPr>
        <w:t xml:space="preserve"> &amp; </w:t>
      </w:r>
      <w:proofErr w:type="spellStart"/>
      <w:r>
        <w:rPr>
          <w:rFonts w:ascii="Times New Roman" w:hAnsi="Times New Roman"/>
          <w:color w:val="5F6062"/>
          <w:sz w:val="24"/>
          <w:szCs w:val="24"/>
        </w:rPr>
        <w:t>Customs</w:t>
      </w:r>
      <w:proofErr w:type="spellEnd"/>
      <w:r>
        <w:rPr>
          <w:rFonts w:ascii="Times New Roman" w:hAnsi="Times New Roman"/>
          <w:color w:val="5F6062"/>
          <w:sz w:val="24"/>
          <w:szCs w:val="24"/>
        </w:rPr>
        <w:t>, lo cual le ofrece un tratamiento fiscal favorable para sus ahorros.</w:t>
      </w:r>
    </w:p>
    <w:p w14:paraId="12973957" w14:textId="77777777" w:rsidR="005F5258" w:rsidRPr="005F5258" w:rsidRDefault="005F5258" w:rsidP="005F5258">
      <w:pPr>
        <w:spacing w:after="100" w:afterAutospacing="1" w:line="240" w:lineRule="auto"/>
        <w:outlineLvl w:val="1"/>
        <w:rPr>
          <w:rFonts w:ascii="inherit" w:eastAsia="Times New Roman" w:hAnsi="inherit" w:cs="Times New Roman"/>
          <w:b/>
          <w:bCs/>
          <w:color w:val="00B8E4"/>
          <w:sz w:val="36"/>
          <w:szCs w:val="36"/>
        </w:rPr>
      </w:pPr>
      <w:r>
        <w:rPr>
          <w:rFonts w:ascii="inherit" w:hAnsi="inherit"/>
          <w:b/>
          <w:bCs/>
          <w:color w:val="00B8E4"/>
          <w:sz w:val="36"/>
          <w:szCs w:val="36"/>
        </w:rPr>
        <w:t>¿Qué ocurre si algo sale mal?</w:t>
      </w:r>
    </w:p>
    <w:p w14:paraId="44B77456" w14:textId="3F979384" w:rsidR="002D022B"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Si su empleador se declarara insolvente, su pensión estaría segura, puesto que los activos del Plan están separados. Eso significa que no estarán a disposición de los acreedores de su empleador.</w:t>
      </w:r>
    </w:p>
    <w:p w14:paraId="0E1C9534" w14:textId="7E21AA78" w:rsidR="005F5258" w:rsidRDefault="002B1812"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 xml:space="preserve">Lo mismo se aplicaría si </w:t>
      </w:r>
      <w:proofErr w:type="spellStart"/>
      <w:r w:rsidR="00333A59" w:rsidRPr="00333A59">
        <w:rPr>
          <w:rFonts w:ascii="Times New Roman" w:hAnsi="Times New Roman"/>
          <w:color w:val="5F6062"/>
          <w:sz w:val="24"/>
          <w:szCs w:val="24"/>
        </w:rPr>
        <w:t>People’s</w:t>
      </w:r>
      <w:proofErr w:type="spellEnd"/>
      <w:r w:rsidR="00333A59" w:rsidRPr="00333A59">
        <w:rPr>
          <w:rFonts w:ascii="Times New Roman" w:hAnsi="Times New Roman"/>
          <w:color w:val="5F6062"/>
          <w:sz w:val="24"/>
          <w:szCs w:val="24"/>
        </w:rPr>
        <w:t xml:space="preserve"> </w:t>
      </w:r>
      <w:proofErr w:type="spellStart"/>
      <w:r w:rsidR="00333A59" w:rsidRPr="00333A59">
        <w:rPr>
          <w:rFonts w:ascii="Times New Roman" w:hAnsi="Times New Roman"/>
          <w:color w:val="5F6062"/>
          <w:sz w:val="24"/>
          <w:szCs w:val="24"/>
        </w:rPr>
        <w:t>Partnership</w:t>
      </w:r>
      <w:proofErr w:type="spellEnd"/>
      <w:r w:rsidR="00333A59" w:rsidRPr="00333A59">
        <w:rPr>
          <w:rFonts w:ascii="Times New Roman" w:hAnsi="Times New Roman"/>
          <w:color w:val="5F6062"/>
          <w:sz w:val="24"/>
          <w:szCs w:val="24"/>
        </w:rPr>
        <w:t xml:space="preserve"> </w:t>
      </w:r>
      <w:proofErr w:type="spellStart"/>
      <w:r w:rsidR="00333A59" w:rsidRPr="00333A59">
        <w:rPr>
          <w:rFonts w:ascii="Times New Roman" w:hAnsi="Times New Roman"/>
          <w:color w:val="5F6062"/>
          <w:sz w:val="24"/>
          <w:szCs w:val="24"/>
        </w:rPr>
        <w:t>Limited</w:t>
      </w:r>
      <w:proofErr w:type="spellEnd"/>
      <w:r w:rsidR="00333A59">
        <w:rPr>
          <w:rStyle w:val="cf01"/>
        </w:rPr>
        <w:t xml:space="preserve"> </w:t>
      </w:r>
      <w:r>
        <w:rPr>
          <w:rFonts w:ascii="Times New Roman" w:hAnsi="Times New Roman"/>
          <w:color w:val="5F6062"/>
          <w:sz w:val="24"/>
          <w:szCs w:val="24"/>
        </w:rPr>
        <w:t>se declarara insolvente.</w:t>
      </w:r>
    </w:p>
    <w:p w14:paraId="4CD00E3D" w14:textId="589B45B5" w:rsidR="004B6A4E" w:rsidRDefault="004B6A4E"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En caso de que el Plan finalice y el Fiduciario decida liquidar el Plan, la cantidad total abonada a su pensión estará protegida y no se podrá utilizar para satisfacer el coste de liquidación del Plan.</w:t>
      </w:r>
    </w:p>
    <w:p w14:paraId="57C0B327" w14:textId="40643BA6"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Si el administrador del Plan (</w:t>
      </w:r>
      <w:proofErr w:type="spellStart"/>
      <w:r w:rsidR="006C0197" w:rsidRPr="006C0197">
        <w:rPr>
          <w:rFonts w:ascii="Times New Roman" w:hAnsi="Times New Roman"/>
          <w:color w:val="5F6062"/>
          <w:sz w:val="24"/>
          <w:szCs w:val="24"/>
        </w:rPr>
        <w:t>People’s</w:t>
      </w:r>
      <w:proofErr w:type="spellEnd"/>
      <w:r w:rsidR="006C0197" w:rsidRPr="006C0197">
        <w:rPr>
          <w:rFonts w:ascii="Times New Roman" w:hAnsi="Times New Roman"/>
          <w:color w:val="5F6062"/>
          <w:sz w:val="24"/>
          <w:szCs w:val="24"/>
        </w:rPr>
        <w:t xml:space="preserve"> </w:t>
      </w:r>
      <w:proofErr w:type="spellStart"/>
      <w:r w:rsidR="006C0197" w:rsidRPr="006C0197">
        <w:rPr>
          <w:rFonts w:ascii="Times New Roman" w:hAnsi="Times New Roman"/>
          <w:color w:val="5F6062"/>
          <w:sz w:val="24"/>
          <w:szCs w:val="24"/>
        </w:rPr>
        <w:t>Administration</w:t>
      </w:r>
      <w:proofErr w:type="spellEnd"/>
      <w:r w:rsidR="006C0197" w:rsidRPr="006C0197">
        <w:rPr>
          <w:rFonts w:ascii="Times New Roman" w:hAnsi="Times New Roman"/>
          <w:color w:val="5F6062"/>
          <w:sz w:val="24"/>
          <w:szCs w:val="24"/>
        </w:rPr>
        <w:t xml:space="preserve"> Services </w:t>
      </w:r>
      <w:proofErr w:type="spellStart"/>
      <w:r w:rsidR="006C0197" w:rsidRPr="006C0197">
        <w:rPr>
          <w:rFonts w:ascii="Times New Roman" w:hAnsi="Times New Roman"/>
          <w:color w:val="5F6062"/>
          <w:sz w:val="24"/>
          <w:szCs w:val="24"/>
        </w:rPr>
        <w:t>Limited</w:t>
      </w:r>
      <w:proofErr w:type="spellEnd"/>
      <w:r>
        <w:rPr>
          <w:rFonts w:ascii="Times New Roman" w:hAnsi="Times New Roman"/>
          <w:color w:val="5F6062"/>
          <w:sz w:val="24"/>
          <w:szCs w:val="24"/>
        </w:rPr>
        <w:t>) se declarara insolvente, el Fiduciario nombraría a nuevos administradores para la gestión del Plan.</w:t>
      </w:r>
    </w:p>
    <w:p w14:paraId="16A5C5BF" w14:textId="5C6C5903"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Si la empresa fideicomisaria se declarara insolvente, se nombraría a nuevos Fiduciarios. Esto no afectaría a los activos del Plan ni a la cantidad total abonada a su pensión.</w:t>
      </w:r>
    </w:p>
    <w:p w14:paraId="709FFD69" w14:textId="5FE995E9"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 xml:space="preserve">Si el administrador de inversiones, </w:t>
      </w:r>
      <w:proofErr w:type="spellStart"/>
      <w:r>
        <w:rPr>
          <w:rFonts w:ascii="Times New Roman" w:hAnsi="Times New Roman"/>
          <w:color w:val="5F6062"/>
          <w:sz w:val="24"/>
          <w:szCs w:val="24"/>
        </w:rPr>
        <w:t>State</w:t>
      </w:r>
      <w:proofErr w:type="spellEnd"/>
      <w:r>
        <w:rPr>
          <w:rFonts w:ascii="Times New Roman" w:hAnsi="Times New Roman"/>
          <w:color w:val="5F6062"/>
          <w:sz w:val="24"/>
          <w:szCs w:val="24"/>
        </w:rPr>
        <w:t xml:space="preserve"> Street Global </w:t>
      </w:r>
      <w:proofErr w:type="spellStart"/>
      <w:r>
        <w:rPr>
          <w:rFonts w:ascii="Times New Roman" w:hAnsi="Times New Roman"/>
          <w:color w:val="5F6062"/>
          <w:sz w:val="24"/>
          <w:szCs w:val="24"/>
        </w:rPr>
        <w:t>Advisors</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Limited</w:t>
      </w:r>
      <w:proofErr w:type="spellEnd"/>
      <w:r>
        <w:rPr>
          <w:rFonts w:ascii="Times New Roman" w:hAnsi="Times New Roman"/>
          <w:color w:val="5F6062"/>
          <w:sz w:val="24"/>
          <w:szCs w:val="24"/>
        </w:rPr>
        <w:t xml:space="preserve"> (SSGA) o cualesquiera otros administradores de inversiones nombrados, se declarara(n) insolvente(s), se nombraría a unos administradores de inversiones nuevos. Es posible que, en situaciones extremas, las inversiones del Plan que están bajo el control del Fiduciario puedan quedar afectadas por la insolvencia del administrador de inversiones, pero contamos con una protección considerable al respecto.</w:t>
      </w:r>
    </w:p>
    <w:p w14:paraId="44C99ADB" w14:textId="709A50F8"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 xml:space="preserve">Actualmente, SSGA invierte todas las aportaciones en fondos de inversión mancomunados altamente valorados, a los cuales se accede mediante un contrato de seguro a largo plazo con </w:t>
      </w:r>
      <w:proofErr w:type="spellStart"/>
      <w:r>
        <w:rPr>
          <w:rFonts w:ascii="Times New Roman" w:hAnsi="Times New Roman"/>
          <w:color w:val="5F6062"/>
          <w:sz w:val="24"/>
          <w:szCs w:val="24"/>
        </w:rPr>
        <w:t>Managed</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Pension</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Funds</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Limited</w:t>
      </w:r>
      <w:proofErr w:type="spellEnd"/>
      <w:r>
        <w:rPr>
          <w:rFonts w:ascii="Times New Roman" w:hAnsi="Times New Roman"/>
          <w:color w:val="5F6062"/>
          <w:sz w:val="24"/>
          <w:szCs w:val="24"/>
        </w:rPr>
        <w:t>. Se trata de una estructura de inversión típica utilizada por muchos fondos de pensión en el Reino Unido y está concebida para ofrecer una protección adicional a los ahorros de pensiones de los miembros.</w:t>
      </w:r>
    </w:p>
    <w:p w14:paraId="0546AB30" w14:textId="77777777" w:rsidR="005F5258" w:rsidRPr="005F5258" w:rsidRDefault="005F5258" w:rsidP="005F5258">
      <w:pPr>
        <w:spacing w:after="100" w:afterAutospacing="1" w:line="240" w:lineRule="auto"/>
        <w:outlineLvl w:val="1"/>
        <w:rPr>
          <w:rFonts w:ascii="inherit" w:eastAsia="Times New Roman" w:hAnsi="inherit" w:cs="Times New Roman"/>
          <w:b/>
          <w:bCs/>
          <w:color w:val="00B8E4"/>
          <w:sz w:val="36"/>
          <w:szCs w:val="36"/>
        </w:rPr>
      </w:pPr>
      <w:bookmarkStart w:id="0" w:name="_Hlk528305706"/>
      <w:r>
        <w:rPr>
          <w:rFonts w:ascii="inherit" w:hAnsi="inherit"/>
          <w:b/>
          <w:bCs/>
          <w:color w:val="00B8E4"/>
          <w:sz w:val="36"/>
          <w:szCs w:val="36"/>
        </w:rPr>
        <w:t>Programa de Indemnización de Servicios Financieros</w:t>
      </w:r>
    </w:p>
    <w:p w14:paraId="03220BEF" w14:textId="0A3A89BF"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 xml:space="preserve">En caso de que </w:t>
      </w:r>
      <w:proofErr w:type="spellStart"/>
      <w:r>
        <w:rPr>
          <w:rFonts w:ascii="Times New Roman" w:hAnsi="Times New Roman"/>
          <w:color w:val="5F6062"/>
          <w:sz w:val="24"/>
          <w:szCs w:val="24"/>
        </w:rPr>
        <w:t>Managed</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Pension</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Funds</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Limited</w:t>
      </w:r>
      <w:proofErr w:type="spellEnd"/>
      <w:r>
        <w:rPr>
          <w:rFonts w:ascii="Times New Roman" w:hAnsi="Times New Roman"/>
          <w:color w:val="5F6062"/>
          <w:sz w:val="24"/>
          <w:szCs w:val="24"/>
        </w:rPr>
        <w:t xml:space="preserve"> se declarara insolvente, sería posible recuperar cualquier déficit a través del Programa de Indemnización de Servicios Financieros (FSCS, por sus siglas en inglés), aunque esta circunstancia aún no se ha puesto a prueba. Consulte la página </w:t>
      </w:r>
      <w:hyperlink r:id="rId8" w:history="1">
        <w:r>
          <w:rPr>
            <w:rFonts w:ascii="Times New Roman" w:hAnsi="Times New Roman"/>
            <w:color w:val="03667E"/>
            <w:sz w:val="24"/>
            <w:szCs w:val="24"/>
            <w:u w:val="single"/>
          </w:rPr>
          <w:t>www.fscs.org.uk</w:t>
        </w:r>
      </w:hyperlink>
      <w:r>
        <w:rPr>
          <w:rFonts w:ascii="Times New Roman" w:hAnsi="Times New Roman"/>
          <w:color w:val="5F6062"/>
          <w:sz w:val="24"/>
          <w:szCs w:val="24"/>
        </w:rPr>
        <w:t> para obtener más información. Conviene señalar que un acontecimiento de insolvencia de este tipo que, en última instancia, tuviera un efecto perjudicial sobre las cuentas personales de los miembros, sería algo excepcional. El Fiduciario del Plan realiza una supervisión exhaustiva de todos los administradores de inversiones sobre la base del asesoramiento independiente relativo a inversiones facilitado por una destacada empresa asesora, regulada y autorizada por la FCA.</w:t>
      </w:r>
    </w:p>
    <w:p w14:paraId="4C308BD7" w14:textId="77777777" w:rsidR="005F5258" w:rsidRPr="005F5258" w:rsidRDefault="005F5258" w:rsidP="005F5258">
      <w:pPr>
        <w:spacing w:after="100" w:afterAutospacing="1" w:line="240" w:lineRule="auto"/>
        <w:outlineLvl w:val="1"/>
        <w:rPr>
          <w:rFonts w:ascii="inherit" w:eastAsia="Times New Roman" w:hAnsi="inherit" w:cs="Times New Roman"/>
          <w:b/>
          <w:bCs/>
          <w:color w:val="00B8E4"/>
          <w:sz w:val="36"/>
          <w:szCs w:val="36"/>
        </w:rPr>
      </w:pPr>
      <w:r>
        <w:rPr>
          <w:rFonts w:ascii="inherit" w:hAnsi="inherit"/>
          <w:b/>
          <w:bCs/>
          <w:color w:val="00B8E4"/>
          <w:sz w:val="36"/>
          <w:szCs w:val="36"/>
        </w:rPr>
        <w:lastRenderedPageBreak/>
        <w:t>Anualidades en el momento de la jubilación</w:t>
      </w:r>
    </w:p>
    <w:p w14:paraId="0BA9BBDF" w14:textId="6B213EB7" w:rsidR="009C66C6" w:rsidRDefault="005F5258" w:rsidP="00455B5F">
      <w:pPr>
        <w:spacing w:after="100" w:afterAutospacing="1" w:line="240" w:lineRule="auto"/>
      </w:pPr>
      <w:r>
        <w:rPr>
          <w:rFonts w:ascii="Times New Roman" w:hAnsi="Times New Roman"/>
          <w:color w:val="5F6062"/>
          <w:sz w:val="24"/>
          <w:szCs w:val="24"/>
        </w:rPr>
        <w:t>Algunos miembros que reciben prestaciones de jubilación del Plan lo hacen mediante el establecimiento de una anualidad con una empresa de seguros. Si la empresa de seguros no cumpliera sus obligaciones por insolvencia, los miembros podrían cumplir los requisitos necesarios para recibir una indemnización del FSCS en su propio nombre. El nivel máximo de protección actual establecido por el FSCS corresponde a un 100 % de los ingresos de la jubilación obtenidos de ese producto a modo de beneficio pagadero.</w:t>
      </w:r>
      <w:bookmarkEnd w:id="0"/>
    </w:p>
    <w:sectPr w:rsidR="009C6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E0E06"/>
    <w:multiLevelType w:val="hybridMultilevel"/>
    <w:tmpl w:val="ACFA74B6"/>
    <w:lvl w:ilvl="0" w:tplc="347CD9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08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wMjQ0NjEzMbUwMzRX0lEKTi0uzszPAykwrgUAV2QorywAAAA="/>
  </w:docVars>
  <w:rsids>
    <w:rsidRoot w:val="005F5258"/>
    <w:rsid w:val="00040A11"/>
    <w:rsid w:val="000873CB"/>
    <w:rsid w:val="0009546B"/>
    <w:rsid w:val="00104984"/>
    <w:rsid w:val="00222C15"/>
    <w:rsid w:val="00263612"/>
    <w:rsid w:val="002979B3"/>
    <w:rsid w:val="002B1812"/>
    <w:rsid w:val="002B4875"/>
    <w:rsid w:val="002D022B"/>
    <w:rsid w:val="00333A59"/>
    <w:rsid w:val="0034348A"/>
    <w:rsid w:val="003704DE"/>
    <w:rsid w:val="003F3BCE"/>
    <w:rsid w:val="00455B5F"/>
    <w:rsid w:val="004B6A4E"/>
    <w:rsid w:val="004C532F"/>
    <w:rsid w:val="00532361"/>
    <w:rsid w:val="00582925"/>
    <w:rsid w:val="005F5258"/>
    <w:rsid w:val="006431D3"/>
    <w:rsid w:val="006C0197"/>
    <w:rsid w:val="007760CB"/>
    <w:rsid w:val="00784B82"/>
    <w:rsid w:val="008C60BA"/>
    <w:rsid w:val="008D0420"/>
    <w:rsid w:val="00971F06"/>
    <w:rsid w:val="009C66C6"/>
    <w:rsid w:val="00AB064B"/>
    <w:rsid w:val="00AC5832"/>
    <w:rsid w:val="00B03FFB"/>
    <w:rsid w:val="00C3649B"/>
    <w:rsid w:val="00C54D01"/>
    <w:rsid w:val="00D720EE"/>
    <w:rsid w:val="00D72472"/>
    <w:rsid w:val="00DF13F5"/>
    <w:rsid w:val="00EC5D58"/>
    <w:rsid w:val="00EF130C"/>
    <w:rsid w:val="00FB4A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541D"/>
  <w15:chartTrackingRefBased/>
  <w15:docId w15:val="{DAD792F7-7599-435D-BC70-9DBAFBAF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258"/>
    <w:rPr>
      <w:color w:val="0000FF" w:themeColor="hyperlink"/>
      <w:u w:val="single"/>
    </w:rPr>
  </w:style>
  <w:style w:type="character" w:styleId="UnresolvedMention">
    <w:name w:val="Unresolved Mention"/>
    <w:basedOn w:val="DefaultParagraphFont"/>
    <w:uiPriority w:val="99"/>
    <w:semiHidden/>
    <w:unhideWhenUsed/>
    <w:rsid w:val="005F5258"/>
    <w:rPr>
      <w:color w:val="605E5C"/>
      <w:shd w:val="clear" w:color="auto" w:fill="E1DFDD"/>
    </w:rPr>
  </w:style>
  <w:style w:type="character" w:styleId="CommentReference">
    <w:name w:val="annotation reference"/>
    <w:basedOn w:val="DefaultParagraphFont"/>
    <w:uiPriority w:val="99"/>
    <w:semiHidden/>
    <w:unhideWhenUsed/>
    <w:rsid w:val="005F5258"/>
    <w:rPr>
      <w:sz w:val="16"/>
      <w:szCs w:val="16"/>
    </w:rPr>
  </w:style>
  <w:style w:type="paragraph" w:styleId="CommentText">
    <w:name w:val="annotation text"/>
    <w:basedOn w:val="Normal"/>
    <w:link w:val="CommentTextChar"/>
    <w:uiPriority w:val="99"/>
    <w:unhideWhenUsed/>
    <w:rsid w:val="005F5258"/>
    <w:pPr>
      <w:spacing w:line="240" w:lineRule="auto"/>
    </w:pPr>
    <w:rPr>
      <w:sz w:val="20"/>
      <w:szCs w:val="20"/>
    </w:rPr>
  </w:style>
  <w:style w:type="character" w:customStyle="1" w:styleId="CommentTextChar">
    <w:name w:val="Comment Text Char"/>
    <w:basedOn w:val="DefaultParagraphFont"/>
    <w:link w:val="CommentText"/>
    <w:uiPriority w:val="99"/>
    <w:rsid w:val="005F5258"/>
    <w:rPr>
      <w:sz w:val="20"/>
      <w:szCs w:val="20"/>
    </w:rPr>
  </w:style>
  <w:style w:type="paragraph" w:styleId="CommentSubject">
    <w:name w:val="annotation subject"/>
    <w:basedOn w:val="CommentText"/>
    <w:next w:val="CommentText"/>
    <w:link w:val="CommentSubjectChar"/>
    <w:uiPriority w:val="99"/>
    <w:semiHidden/>
    <w:unhideWhenUsed/>
    <w:rsid w:val="005F5258"/>
    <w:rPr>
      <w:b/>
      <w:bCs/>
    </w:rPr>
  </w:style>
  <w:style w:type="character" w:customStyle="1" w:styleId="CommentSubjectChar">
    <w:name w:val="Comment Subject Char"/>
    <w:basedOn w:val="CommentTextChar"/>
    <w:link w:val="CommentSubject"/>
    <w:uiPriority w:val="99"/>
    <w:semiHidden/>
    <w:rsid w:val="005F5258"/>
    <w:rPr>
      <w:b/>
      <w:bCs/>
      <w:sz w:val="20"/>
      <w:szCs w:val="20"/>
    </w:rPr>
  </w:style>
  <w:style w:type="paragraph" w:styleId="BalloonText">
    <w:name w:val="Balloon Text"/>
    <w:basedOn w:val="Normal"/>
    <w:link w:val="BalloonTextChar"/>
    <w:uiPriority w:val="99"/>
    <w:semiHidden/>
    <w:unhideWhenUsed/>
    <w:rsid w:val="005F5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258"/>
    <w:rPr>
      <w:rFonts w:ascii="Segoe UI" w:hAnsi="Segoe UI" w:cs="Segoe UI"/>
      <w:sz w:val="18"/>
      <w:szCs w:val="18"/>
    </w:rPr>
  </w:style>
  <w:style w:type="paragraph" w:styleId="Revision">
    <w:name w:val="Revision"/>
    <w:hidden/>
    <w:uiPriority w:val="99"/>
    <w:semiHidden/>
    <w:rsid w:val="00EF130C"/>
    <w:pPr>
      <w:spacing w:after="0" w:line="240" w:lineRule="auto"/>
    </w:pPr>
  </w:style>
  <w:style w:type="character" w:customStyle="1" w:styleId="cf01">
    <w:name w:val="cf01"/>
    <w:basedOn w:val="DefaultParagraphFont"/>
    <w:rsid w:val="00333A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2130">
      <w:bodyDiv w:val="1"/>
      <w:marLeft w:val="0"/>
      <w:marRight w:val="0"/>
      <w:marTop w:val="0"/>
      <w:marBottom w:val="0"/>
      <w:divBdr>
        <w:top w:val="none" w:sz="0" w:space="0" w:color="auto"/>
        <w:left w:val="none" w:sz="0" w:space="0" w:color="auto"/>
        <w:bottom w:val="none" w:sz="0" w:space="0" w:color="auto"/>
        <w:right w:val="none" w:sz="0" w:space="0" w:color="auto"/>
      </w:divBdr>
    </w:div>
    <w:div w:id="440498299">
      <w:bodyDiv w:val="1"/>
      <w:marLeft w:val="0"/>
      <w:marRight w:val="0"/>
      <w:marTop w:val="0"/>
      <w:marBottom w:val="0"/>
      <w:divBdr>
        <w:top w:val="none" w:sz="0" w:space="0" w:color="auto"/>
        <w:left w:val="none" w:sz="0" w:space="0" w:color="auto"/>
        <w:bottom w:val="none" w:sz="0" w:space="0" w:color="auto"/>
        <w:right w:val="none" w:sz="0" w:space="0" w:color="auto"/>
      </w:divBdr>
      <w:divsChild>
        <w:div w:id="1844970230">
          <w:marLeft w:val="0"/>
          <w:marRight w:val="0"/>
          <w:marTop w:val="0"/>
          <w:marBottom w:val="0"/>
          <w:divBdr>
            <w:top w:val="none" w:sz="0" w:space="0" w:color="auto"/>
            <w:left w:val="none" w:sz="0" w:space="0" w:color="auto"/>
            <w:bottom w:val="none" w:sz="0" w:space="0" w:color="auto"/>
            <w:right w:val="none" w:sz="0" w:space="0" w:color="auto"/>
          </w:divBdr>
        </w:div>
      </w:divsChild>
    </w:div>
    <w:div w:id="1641495099">
      <w:bodyDiv w:val="1"/>
      <w:marLeft w:val="0"/>
      <w:marRight w:val="0"/>
      <w:marTop w:val="0"/>
      <w:marBottom w:val="0"/>
      <w:divBdr>
        <w:top w:val="none" w:sz="0" w:space="0" w:color="auto"/>
        <w:left w:val="none" w:sz="0" w:space="0" w:color="auto"/>
        <w:bottom w:val="none" w:sz="0" w:space="0" w:color="auto"/>
        <w:right w:val="none" w:sz="0" w:space="0" w:color="auto"/>
      </w:divBdr>
    </w:div>
    <w:div w:id="1984700307">
      <w:bodyDiv w:val="1"/>
      <w:marLeft w:val="0"/>
      <w:marRight w:val="0"/>
      <w:marTop w:val="0"/>
      <w:marBottom w:val="0"/>
      <w:divBdr>
        <w:top w:val="none" w:sz="0" w:space="0" w:color="auto"/>
        <w:left w:val="none" w:sz="0" w:space="0" w:color="auto"/>
        <w:bottom w:val="none" w:sz="0" w:space="0" w:color="auto"/>
        <w:right w:val="none" w:sz="0" w:space="0" w:color="auto"/>
      </w:divBdr>
      <w:divsChild>
        <w:div w:id="47136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cs.org.uk/" TargetMode="External"/><Relationship Id="rId3" Type="http://schemas.openxmlformats.org/officeDocument/2006/relationships/settings" Target="settings.xml"/><Relationship Id="rId7" Type="http://schemas.openxmlformats.org/officeDocument/2006/relationships/hyperlink" Target="https://thepeoplespension.co.uk/the-peoples-pension-trus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peoplespension.co.uk/accessibility/information-in-other-languages/" TargetMode="External"/><Relationship Id="rId5" Type="http://schemas.openxmlformats.org/officeDocument/2006/relationships/hyperlink" Target="https://thepeoplespension.co.uk/accessibility/information-in-other-languag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Karishma Mulji</dc:creator>
  <cp:keywords/>
  <dc:description/>
  <cp:lastModifiedBy>Michelle Cooke</cp:lastModifiedBy>
  <cp:revision>4</cp:revision>
  <dcterms:created xsi:type="dcterms:W3CDTF">2022-11-17T09:16:00Z</dcterms:created>
  <dcterms:modified xsi:type="dcterms:W3CDTF">2022-11-17T11:04:00Z</dcterms:modified>
</cp:coreProperties>
</file>