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7C91" w14:textId="77777777" w:rsidR="005F5258" w:rsidRDefault="005F5258" w:rsidP="005F5258">
      <w:pPr>
        <w:spacing w:after="0" w:line="240" w:lineRule="auto"/>
        <w:rPr>
          <w:rFonts w:ascii="Arial" w:eastAsia="Times New Roman" w:hAnsi="Arial" w:cs="Arial"/>
          <w:b/>
          <w:bCs/>
          <w:sz w:val="30"/>
          <w:szCs w:val="30"/>
        </w:rPr>
      </w:pPr>
      <w:r>
        <w:rPr>
          <w:rFonts w:ascii="inherit" w:hAnsi="inherit"/>
          <w:b/>
          <w:bCs/>
          <w:color w:val="00B8E4"/>
          <w:sz w:val="44"/>
          <w:szCs w:val="36"/>
        </w:rPr>
        <w:t xml:space="preserve">Securitatea economiilor dumneavoastră </w:t>
      </w:r>
    </w:p>
    <w:p w14:paraId="4595B319" w14:textId="77777777" w:rsidR="005F5258" w:rsidRDefault="005F5258" w:rsidP="005F5258">
      <w:pPr>
        <w:spacing w:after="0" w:line="240" w:lineRule="auto"/>
        <w:rPr>
          <w:rFonts w:ascii="Arial" w:eastAsia="Times New Roman" w:hAnsi="Arial" w:cs="Arial"/>
          <w:b/>
          <w:bCs/>
          <w:sz w:val="30"/>
          <w:szCs w:val="30"/>
          <w:lang w:eastAsia="en-GB"/>
        </w:rPr>
      </w:pPr>
    </w:p>
    <w:p w14:paraId="1B0499A1" w14:textId="5AF72E40" w:rsidR="005F5258" w:rsidRPr="005F5258" w:rsidRDefault="005F5258" w:rsidP="005F5258">
      <w:pPr>
        <w:spacing w:after="0" w:line="240" w:lineRule="auto"/>
        <w:rPr>
          <w:rFonts w:ascii="Arial" w:eastAsia="Times New Roman" w:hAnsi="Arial" w:cs="Arial"/>
          <w:bCs/>
          <w:sz w:val="30"/>
          <w:szCs w:val="30"/>
        </w:rPr>
      </w:pPr>
      <w:r>
        <w:rPr>
          <w:rFonts w:ascii="Arial" w:hAnsi="Arial"/>
          <w:bCs/>
          <w:sz w:val="30"/>
          <w:szCs w:val="30"/>
        </w:rPr>
        <w:t xml:space="preserve">Schema People’s Pension (Schema) este o schemă de pensii ocupaționale cu contribuții definite. People’s Financial Services Limited este furnizorul schemei și face parte din </w:t>
      </w:r>
      <w:r w:rsidR="005B4B13" w:rsidRPr="005B4B13">
        <w:rPr>
          <w:rFonts w:ascii="Arial" w:hAnsi="Arial"/>
          <w:bCs/>
          <w:sz w:val="30"/>
          <w:szCs w:val="30"/>
        </w:rPr>
        <w:t>People’s Partnership Group</w:t>
      </w:r>
      <w:r>
        <w:rPr>
          <w:rFonts w:ascii="Arial" w:hAnsi="Arial"/>
          <w:bCs/>
          <w:sz w:val="30"/>
          <w:szCs w:val="30"/>
        </w:rPr>
        <w:t>, un grup de companii non-profit care oferă produse și beneficii financiare pentru angajați. Angajatorul dvs. este unul dintre mulți alții care utilizează schema pentru pensiile ocupaționale.</w:t>
      </w:r>
    </w:p>
    <w:p w14:paraId="1A867D46" w14:textId="77777777" w:rsidR="005F5258" w:rsidRPr="005F5258" w:rsidRDefault="005F5258" w:rsidP="005F5258">
      <w:pPr>
        <w:spacing w:after="0" w:line="240" w:lineRule="auto"/>
        <w:rPr>
          <w:rFonts w:ascii="Arial" w:eastAsia="Times New Roman" w:hAnsi="Arial" w:cs="Arial"/>
          <w:sz w:val="30"/>
          <w:szCs w:val="30"/>
        </w:rPr>
      </w:pPr>
      <w:r>
        <w:rPr>
          <w:rFonts w:ascii="Arial" w:hAnsi="Arial"/>
          <w:b/>
          <w:bCs/>
          <w:sz w:val="30"/>
          <w:szCs w:val="30"/>
        </w:rPr>
        <w:br/>
      </w:r>
      <w:hyperlink r:id="rId5" w:history="1">
        <w:r>
          <w:rPr>
            <w:rFonts w:ascii="Arial" w:hAnsi="Arial"/>
            <w:b/>
            <w:bCs/>
            <w:color w:val="800080"/>
            <w:sz w:val="30"/>
            <w:szCs w:val="30"/>
            <w:u w:val="single"/>
          </w:rPr>
          <w:t>Informații în alte limbi</w:t>
        </w:r>
        <w:r>
          <w:rPr>
            <w:rFonts w:ascii="Arial" w:hAnsi="Arial"/>
            <w:b/>
            <w:bCs/>
            <w:color w:val="800080"/>
            <w:sz w:val="30"/>
            <w:szCs w:val="30"/>
            <w:u w:val="single"/>
          </w:rPr>
          <w:br/>
        </w:r>
        <w:r>
          <w:rPr>
            <w:rFonts w:ascii="Arial" w:hAnsi="Arial"/>
            <w:b/>
            <w:bCs/>
            <w:color w:val="800080"/>
            <w:sz w:val="30"/>
            <w:szCs w:val="30"/>
            <w:u w:val="single"/>
          </w:rPr>
          <w:br/>
        </w:r>
      </w:hyperlink>
    </w:p>
    <w:p w14:paraId="34809A5B"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Context</w:t>
      </w:r>
      <w:r>
        <w:rPr>
          <w:rFonts w:ascii="Tahoma" w:hAnsi="Tahoma"/>
          <w:b/>
          <w:bCs/>
          <w:color w:val="00B8E4"/>
          <w:sz w:val="36"/>
          <w:szCs w:val="36"/>
        </w:rPr>
        <w:t>﻿</w:t>
      </w:r>
    </w:p>
    <w:p w14:paraId="44AE6A2D" w14:textId="61556FC8"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Deoarece schema este înființată în baza unui acord de încredere, aveți asigurarea că activele Schemei și contul dvs. personal sunt deținute legal separat atât de </w:t>
      </w:r>
      <w:r w:rsidR="005B4B13" w:rsidRPr="005B4B13">
        <w:rPr>
          <w:rFonts w:ascii="Times New Roman" w:hAnsi="Times New Roman"/>
          <w:color w:val="5F6062"/>
          <w:sz w:val="24"/>
          <w:szCs w:val="24"/>
        </w:rPr>
        <w:t>People’s Partnership</w:t>
      </w:r>
      <w:r>
        <w:rPr>
          <w:rFonts w:ascii="Times New Roman" w:hAnsi="Times New Roman"/>
          <w:color w:val="5F6062"/>
          <w:sz w:val="24"/>
          <w:szCs w:val="24"/>
        </w:rPr>
        <w:t>, cât și de angajatorul dvs. Astfel, banii dvs. sunt în siguranță. Pentru mai multe informații, consultați „Ce se întâmplă dacă lucrurile nu merg cum trebuie?”.</w:t>
      </w:r>
    </w:p>
    <w:p w14:paraId="722C275F" w14:textId="13734614"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People's Pension Trustee Limited (Administratorul), ai cărei directori sunt independenți de </w:t>
      </w:r>
      <w:r w:rsidR="005B4B13" w:rsidRPr="005B4B13">
        <w:rPr>
          <w:rFonts w:ascii="Times New Roman" w:hAnsi="Times New Roman"/>
          <w:color w:val="5F6062"/>
          <w:sz w:val="24"/>
          <w:szCs w:val="24"/>
        </w:rPr>
        <w:t>People’s Partnership</w:t>
      </w:r>
      <w:r>
        <w:rPr>
          <w:rFonts w:ascii="Times New Roman" w:hAnsi="Times New Roman"/>
          <w:color w:val="5F6062"/>
          <w:sz w:val="24"/>
          <w:szCs w:val="24"/>
        </w:rPr>
        <w:t>,</w:t>
      </w:r>
      <w:r w:rsidRPr="005B4B13">
        <w:rPr>
          <w:rFonts w:ascii="Times New Roman" w:hAnsi="Times New Roman"/>
          <w:color w:val="5F6062"/>
          <w:sz w:val="24"/>
          <w:szCs w:val="24"/>
        </w:rPr>
        <w:t xml:space="preserve"> </w:t>
      </w:r>
      <w:r>
        <w:rPr>
          <w:rFonts w:ascii="Times New Roman" w:hAnsi="Times New Roman"/>
          <w:color w:val="5F6062"/>
          <w:sz w:val="24"/>
          <w:szCs w:val="24"/>
        </w:rPr>
        <w:t>administrează Schema în conformitate cu un act fiduciar și cu regulile schemei. De asemenea, Administratorul este responsabil pentru investirea contului dvs. personal în conformitate cu instrucțiunile pe care le-ați furnizat. Este de datoria Administratorului să respecte condițiile trustului și să acționeze în interesul membrilor schemei și al altor beneficiari.</w:t>
      </w:r>
    </w:p>
    <w:p w14:paraId="22EF5E5A" w14:textId="5A20DE47"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Administratorul a dese</w:t>
      </w:r>
      <w:r w:rsidRPr="00936D77">
        <w:rPr>
          <w:rFonts w:ascii="Times New Roman" w:hAnsi="Times New Roman"/>
          <w:color w:val="5F6062"/>
          <w:sz w:val="24"/>
          <w:szCs w:val="24"/>
        </w:rPr>
        <w:t xml:space="preserve">mnat firma </w:t>
      </w:r>
      <w:r w:rsidR="00936D77" w:rsidRPr="00936D77">
        <w:rPr>
          <w:rFonts w:ascii="Times New Roman" w:hAnsi="Times New Roman"/>
          <w:color w:val="5F6062"/>
          <w:sz w:val="24"/>
          <w:szCs w:val="24"/>
        </w:rPr>
        <w:t xml:space="preserve">People’s Administration Services Limited </w:t>
      </w:r>
      <w:r w:rsidRPr="00936D77">
        <w:rPr>
          <w:rFonts w:ascii="Times New Roman" w:hAnsi="Times New Roman"/>
          <w:color w:val="5F6062"/>
          <w:sz w:val="24"/>
          <w:szCs w:val="24"/>
        </w:rPr>
        <w:t>(</w:t>
      </w:r>
      <w:bookmarkStart w:id="0" w:name="_Hlk119917779"/>
      <w:r w:rsidRPr="00936D77">
        <w:rPr>
          <w:rFonts w:ascii="Times New Roman" w:hAnsi="Times New Roman"/>
          <w:color w:val="5F6062"/>
          <w:sz w:val="24"/>
          <w:szCs w:val="24"/>
        </w:rPr>
        <w:t xml:space="preserve">altă societate din </w:t>
      </w:r>
      <w:r w:rsidRPr="00205DAE">
        <w:rPr>
          <w:rFonts w:ascii="Times New Roman" w:hAnsi="Times New Roman"/>
          <w:color w:val="5F6062"/>
          <w:sz w:val="24"/>
          <w:szCs w:val="24"/>
        </w:rPr>
        <w:t xml:space="preserve">cadrul </w:t>
      </w:r>
      <w:r w:rsidR="00936D77" w:rsidRPr="00205DAE">
        <w:rPr>
          <w:rFonts w:ascii="Times New Roman" w:hAnsi="Times New Roman"/>
          <w:color w:val="5F6062"/>
          <w:sz w:val="24"/>
          <w:szCs w:val="24"/>
        </w:rPr>
        <w:t>People’s Partnership</w:t>
      </w:r>
      <w:r w:rsidR="00205DAE" w:rsidRPr="00205DAE">
        <w:rPr>
          <w:rFonts w:ascii="Times New Roman" w:hAnsi="Times New Roman"/>
          <w:color w:val="5F6062"/>
          <w:sz w:val="24"/>
          <w:szCs w:val="24"/>
        </w:rPr>
        <w:t xml:space="preserve"> Group</w:t>
      </w:r>
      <w:r w:rsidRPr="00205DAE">
        <w:rPr>
          <w:rFonts w:ascii="Times New Roman" w:hAnsi="Times New Roman"/>
          <w:color w:val="5F6062"/>
          <w:sz w:val="24"/>
          <w:szCs w:val="24"/>
        </w:rPr>
        <w:t xml:space="preserve">) </w:t>
      </w:r>
      <w:bookmarkEnd w:id="0"/>
      <w:r w:rsidRPr="00205DAE">
        <w:rPr>
          <w:rFonts w:ascii="Times New Roman" w:hAnsi="Times New Roman"/>
          <w:color w:val="5F6062"/>
          <w:sz w:val="24"/>
          <w:szCs w:val="24"/>
        </w:rPr>
        <w:t>să</w:t>
      </w:r>
      <w:r w:rsidRPr="00936D77">
        <w:rPr>
          <w:rFonts w:ascii="Times New Roman" w:hAnsi="Times New Roman"/>
          <w:color w:val="5F6062"/>
          <w:sz w:val="24"/>
          <w:szCs w:val="24"/>
        </w:rPr>
        <w:t xml:space="preserve"> efectueze</w:t>
      </w:r>
      <w:r>
        <w:rPr>
          <w:rFonts w:ascii="Times New Roman" w:hAnsi="Times New Roman"/>
          <w:color w:val="5F6062"/>
          <w:sz w:val="24"/>
          <w:szCs w:val="24"/>
        </w:rPr>
        <w:t xml:space="preserve"> administrarea zilnică a Schemei.</w:t>
      </w:r>
    </w:p>
    <w:p w14:paraId="54035978" w14:textId="77777777" w:rsidR="005F5258" w:rsidRPr="005F5258" w:rsidRDefault="00205DAE" w:rsidP="005F5258">
      <w:pPr>
        <w:spacing w:after="100" w:afterAutospacing="1" w:line="240" w:lineRule="auto"/>
        <w:rPr>
          <w:rFonts w:ascii="Times New Roman" w:eastAsia="Times New Roman" w:hAnsi="Times New Roman" w:cs="Times New Roman"/>
          <w:color w:val="5F6062"/>
          <w:sz w:val="24"/>
          <w:szCs w:val="24"/>
        </w:rPr>
      </w:pPr>
      <w:hyperlink r:id="rId6" w:history="1">
        <w:r w:rsidR="00B03FFB">
          <w:rPr>
            <w:rFonts w:ascii="Times New Roman" w:hAnsi="Times New Roman"/>
            <w:color w:val="03667E"/>
            <w:sz w:val="24"/>
            <w:szCs w:val="24"/>
            <w:u w:val="single"/>
          </w:rPr>
          <w:t>Faceți cunoștință cu The People's Pension Trustee</w:t>
        </w:r>
      </w:hyperlink>
    </w:p>
    <w:p w14:paraId="1F8C21F8"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Reglementare</w:t>
      </w:r>
      <w:r>
        <w:rPr>
          <w:rFonts w:ascii="Tahoma" w:hAnsi="Tahoma"/>
          <w:b/>
          <w:bCs/>
          <w:color w:val="00B8E4"/>
          <w:sz w:val="36"/>
          <w:szCs w:val="36"/>
        </w:rPr>
        <w:t>﻿</w:t>
      </w:r>
    </w:p>
    <w:p w14:paraId="5DFFE49C" w14:textId="77777777"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Legea privind pensiile, pe care sistemul trebuie să o respecte, este cuprinzătoare și există o serie de cerințe privind protecția membrilor.</w:t>
      </w:r>
    </w:p>
    <w:p w14:paraId="3CF21362" w14:textId="613F932E"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În plus, schema este înregistrată la The Pensions Regulator, autoritatea din Regatul Unit de reglementare a schemelor de pensii ocupaționale. Autoritatea de reglementare în domeniul pensiilor supraveghează funcționarea schemelor de pensii și poate interveni în cazurile în care este posibil ca administratorii schemei, angajatorii sau consilierii să nu își îndeplinească atribuțiile. Autoritatea de reglementare în domeniul pensiilor are ca scop îmbunătățirea încrederii în pensii prin protejarea economiilor membrilor și încurajarea unor standarde ridicate în ceea ce privește modul în care sunt puse în aplicare schemele de pensii.</w:t>
      </w:r>
    </w:p>
    <w:p w14:paraId="2DDE60DB" w14:textId="5DCB4E78"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lastRenderedPageBreak/>
        <w:t>Administratorul se asigură că schema respectă legislația în materie de pensii și alte coduri de bune practici și orientări emise de Autoritatea de reglementare în domeniul pensiilor.</w:t>
      </w:r>
    </w:p>
    <w:p w14:paraId="47368B9F" w14:textId="2950EF47"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De asemenea, Schema este înregistrată fiscal la HMRC, Administrația Fiscală și Vamală, ceea ce permite impozitarea favorabilă a economiilor dvs.</w:t>
      </w:r>
    </w:p>
    <w:p w14:paraId="12973957"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Ce se întâmplă dacă lucrurile nu merg cum trebuie?</w:t>
      </w:r>
    </w:p>
    <w:p w14:paraId="44B77456" w14:textId="3F979384" w:rsidR="002D022B"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Dacă angajatorul dvs. ar deveni insolvabil, pensia dvs. este în siguranță deoarece activele Schemei sunt distincte. Prin urmare, nu vor fi disponibile pentru creditorii angajatorului dvs.</w:t>
      </w:r>
    </w:p>
    <w:p w14:paraId="0E1C9534" w14:textId="58ABAB1B" w:rsidR="005F5258" w:rsidRDefault="002B1812"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Același lucru se aplică dacă People’s Financial Services Limited ar deveni insolvabilă.</w:t>
      </w:r>
    </w:p>
    <w:p w14:paraId="4CD00E3D" w14:textId="589B45B5" w:rsidR="004B6A4E" w:rsidRDefault="004B6A4E"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Dacă Schema se desființează și Administratorul decide să o lichideze, contul dvs. de pensie este protejat și nu se poate utiliza pentru a acoperi costul de lichidare a Schemei.</w:t>
      </w:r>
    </w:p>
    <w:p w14:paraId="57C0B327" w14:textId="28DEE58A"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Dacă administratorul Schemei (</w:t>
      </w:r>
      <w:r w:rsidR="005B4B13" w:rsidRPr="005B4B13">
        <w:rPr>
          <w:rFonts w:ascii="Times New Roman" w:hAnsi="Times New Roman"/>
          <w:color w:val="5F6062"/>
          <w:sz w:val="24"/>
          <w:szCs w:val="24"/>
        </w:rPr>
        <w:t>People’s Administration Services Limited</w:t>
      </w:r>
      <w:r>
        <w:rPr>
          <w:rFonts w:ascii="Times New Roman" w:hAnsi="Times New Roman"/>
          <w:color w:val="5F6062"/>
          <w:sz w:val="24"/>
          <w:szCs w:val="24"/>
        </w:rPr>
        <w:t>) ar deveni insolvabil, Administratorul va numi noi administratori pentru a opera Schema.</w:t>
      </w:r>
    </w:p>
    <w:p w14:paraId="16A5C5BF" w14:textId="5C6C5903"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Dacă societatea fiduciară ar deveni insolvabilă, se vor numi noi administratori. Acest lucru nu va afecta activele Schemei sau economiile dvs. de pensionare.</w:t>
      </w:r>
    </w:p>
    <w:p w14:paraId="709FFD69" w14:textId="5FE995E9"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În cazul în care administratorul de investiții, State Street Global Advisors Limited (SSGA) sau alți administratori de investiții desemnați, ar deveni insolvabil, se vor numi noi administratori de investiții. Este posibil ca investițiile schemei deținute de Administrator să poată fi afectate, în situații extreme, de insolvabilitatea administratorului de investiții, însă există o protecție considerabilă</w:t>
      </w:r>
      <w:r>
        <w:rPr>
          <w:rFonts w:ascii="Times New Roman" w:hAnsi="Times New Roman"/>
          <w:i/>
          <w:iCs/>
          <w:color w:val="5F6062"/>
          <w:sz w:val="24"/>
          <w:szCs w:val="24"/>
        </w:rPr>
        <w:t>.</w:t>
      </w:r>
    </w:p>
    <w:p w14:paraId="44C99ADB" w14:textId="709A50F8"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În prezent, toate contribuțiile sunt investite de către SSGA în fonduri de investiții globale și foarte apreciate, accesate printr-un contract de asigurare pe termen lung cu Managed Pension Funds Limited. Aceasta este o structură de investiții tipică, utilizată de multe fonduri de pensii din Regatul Unit și urmărește să protejeze și mai bine economiile de pensie ale membrilor.</w:t>
      </w:r>
    </w:p>
    <w:p w14:paraId="0546AB30"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bookmarkStart w:id="1" w:name="_Hlk528305706"/>
      <w:r>
        <w:rPr>
          <w:rFonts w:ascii="inherit" w:hAnsi="inherit"/>
          <w:b/>
          <w:bCs/>
          <w:color w:val="00B8E4"/>
          <w:sz w:val="36"/>
          <w:szCs w:val="36"/>
        </w:rPr>
        <w:t>Schema de compensare a serviciilor financiare</w:t>
      </w:r>
    </w:p>
    <w:p w14:paraId="03220BEF" w14:textId="0A3A89BF"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În cazul în care Managed Pension Funds Limited ar urma să devină insolvabilă, este posibil ca orice deficit să fie recuperat din schema de compensare a serviciilor financiare (FSCS), deși credem că această eventualitate nu a fost încă testată. Pentru informații suplimentare, accesați </w:t>
      </w:r>
      <w:hyperlink r:id="rId7" w:history="1">
        <w:r>
          <w:rPr>
            <w:rFonts w:ascii="Times New Roman" w:hAnsi="Times New Roman"/>
            <w:color w:val="03667E"/>
            <w:sz w:val="24"/>
            <w:szCs w:val="24"/>
            <w:u w:val="single"/>
          </w:rPr>
          <w:t>www.fscs.org.uk</w:t>
        </w:r>
      </w:hyperlink>
      <w:r>
        <w:rPr>
          <w:rFonts w:ascii="Times New Roman" w:hAnsi="Times New Roman"/>
          <w:color w:val="5F6062"/>
          <w:sz w:val="24"/>
          <w:szCs w:val="24"/>
        </w:rPr>
        <w:t>. Trebuie remarcat faptul că un eveniment de insolvabilitate de acest tip, care ar duce în cele din urmă la un impact negativ asupra conturilor personale ale membrilor, ar fi un eveniment extrem. Administratorul schemei ține toți administratorii de investiții sub o analiză atentă, bazată pe consultanță independentă de investiții de la o societate de consultanță autorizată și reglementată de FCA.</w:t>
      </w:r>
    </w:p>
    <w:p w14:paraId="4C308BD7"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Rente viagere la pensionare</w:t>
      </w:r>
    </w:p>
    <w:p w14:paraId="0BA9BBDF" w14:textId="6B213EB7" w:rsidR="009C66C6" w:rsidRDefault="005F5258" w:rsidP="00455B5F">
      <w:pPr>
        <w:spacing w:after="100" w:afterAutospacing="1" w:line="240" w:lineRule="auto"/>
      </w:pPr>
      <w:r>
        <w:rPr>
          <w:rFonts w:ascii="Times New Roman" w:hAnsi="Times New Roman"/>
          <w:color w:val="5F6062"/>
          <w:sz w:val="24"/>
          <w:szCs w:val="24"/>
        </w:rPr>
        <w:lastRenderedPageBreak/>
        <w:t>Unii membri care primesc beneficii de pensie din Schemă fac acest lucru prin asigurarea unei rente viagere la o societate de asigurări. Dacă societatea de asigurări nu și-ar îndeplini obligațiile din cauza insolvabilității, membrii pot beneficia de despăgubiri în nume propriu din partea FSCS. Nivelul maxim de protecție este în prezent stabilit de FSCS ca fiind de 100 % din venitul de pensionare, care este recuperat din produsul respectiv ca beneficiu scadent.</w:t>
      </w:r>
      <w:bookmarkEnd w:id="1"/>
    </w:p>
    <w:sectPr w:rsidR="009C6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E0E06"/>
    <w:multiLevelType w:val="hybridMultilevel"/>
    <w:tmpl w:val="ACFA74B6"/>
    <w:lvl w:ilvl="0" w:tplc="347CD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4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wMjQ0NjEzMbUwMzRX0lEKTi0uzszPAykwrgUAV2QorywAAAA="/>
  </w:docVars>
  <w:rsids>
    <w:rsidRoot w:val="005F5258"/>
    <w:rsid w:val="00063F06"/>
    <w:rsid w:val="0009546B"/>
    <w:rsid w:val="00104984"/>
    <w:rsid w:val="00205DAE"/>
    <w:rsid w:val="00222C15"/>
    <w:rsid w:val="002979B3"/>
    <w:rsid w:val="002B1812"/>
    <w:rsid w:val="002B4875"/>
    <w:rsid w:val="002D022B"/>
    <w:rsid w:val="0034348A"/>
    <w:rsid w:val="003704DE"/>
    <w:rsid w:val="003F3BCE"/>
    <w:rsid w:val="00455B5F"/>
    <w:rsid w:val="004A477B"/>
    <w:rsid w:val="004B6A4E"/>
    <w:rsid w:val="004C532F"/>
    <w:rsid w:val="00532361"/>
    <w:rsid w:val="00582925"/>
    <w:rsid w:val="005B4B13"/>
    <w:rsid w:val="005F5258"/>
    <w:rsid w:val="006431D3"/>
    <w:rsid w:val="007760CB"/>
    <w:rsid w:val="00784B82"/>
    <w:rsid w:val="008C60BA"/>
    <w:rsid w:val="00936D77"/>
    <w:rsid w:val="00971F06"/>
    <w:rsid w:val="009C66C6"/>
    <w:rsid w:val="00AB064B"/>
    <w:rsid w:val="00AC5832"/>
    <w:rsid w:val="00B03FFB"/>
    <w:rsid w:val="00C3649B"/>
    <w:rsid w:val="00C54D01"/>
    <w:rsid w:val="00D720EE"/>
    <w:rsid w:val="00D72472"/>
    <w:rsid w:val="00DF13F5"/>
    <w:rsid w:val="00EC5D58"/>
    <w:rsid w:val="00EF130C"/>
    <w:rsid w:val="00FB4A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541D"/>
  <w15:chartTrackingRefBased/>
  <w15:docId w15:val="{DAD792F7-7599-435D-BC70-9DBAFBAF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258"/>
    <w:rPr>
      <w:color w:val="0000FF" w:themeColor="hyperlink"/>
      <w:u w:val="single"/>
    </w:rPr>
  </w:style>
  <w:style w:type="character" w:styleId="UnresolvedMention">
    <w:name w:val="Unresolved Mention"/>
    <w:basedOn w:val="DefaultParagraphFont"/>
    <w:uiPriority w:val="99"/>
    <w:semiHidden/>
    <w:unhideWhenUsed/>
    <w:rsid w:val="005F5258"/>
    <w:rPr>
      <w:color w:val="605E5C"/>
      <w:shd w:val="clear" w:color="auto" w:fill="E1DFDD"/>
    </w:rPr>
  </w:style>
  <w:style w:type="character" w:styleId="CommentReference">
    <w:name w:val="annotation reference"/>
    <w:basedOn w:val="DefaultParagraphFont"/>
    <w:uiPriority w:val="99"/>
    <w:semiHidden/>
    <w:unhideWhenUsed/>
    <w:rsid w:val="005F5258"/>
    <w:rPr>
      <w:sz w:val="16"/>
      <w:szCs w:val="16"/>
    </w:rPr>
  </w:style>
  <w:style w:type="paragraph" w:styleId="CommentText">
    <w:name w:val="annotation text"/>
    <w:basedOn w:val="Normal"/>
    <w:link w:val="CommentTextChar"/>
    <w:uiPriority w:val="99"/>
    <w:unhideWhenUsed/>
    <w:rsid w:val="005F5258"/>
    <w:pPr>
      <w:spacing w:line="240" w:lineRule="auto"/>
    </w:pPr>
    <w:rPr>
      <w:sz w:val="20"/>
      <w:szCs w:val="20"/>
    </w:rPr>
  </w:style>
  <w:style w:type="character" w:customStyle="1" w:styleId="CommentTextChar">
    <w:name w:val="Comment Text Char"/>
    <w:basedOn w:val="DefaultParagraphFont"/>
    <w:link w:val="CommentText"/>
    <w:uiPriority w:val="99"/>
    <w:rsid w:val="005F5258"/>
    <w:rPr>
      <w:sz w:val="20"/>
      <w:szCs w:val="20"/>
    </w:rPr>
  </w:style>
  <w:style w:type="paragraph" w:styleId="CommentSubject">
    <w:name w:val="annotation subject"/>
    <w:basedOn w:val="CommentText"/>
    <w:next w:val="CommentText"/>
    <w:link w:val="CommentSubjectChar"/>
    <w:uiPriority w:val="99"/>
    <w:semiHidden/>
    <w:unhideWhenUsed/>
    <w:rsid w:val="005F5258"/>
    <w:rPr>
      <w:b/>
      <w:bCs/>
    </w:rPr>
  </w:style>
  <w:style w:type="character" w:customStyle="1" w:styleId="CommentSubjectChar">
    <w:name w:val="Comment Subject Char"/>
    <w:basedOn w:val="CommentTextChar"/>
    <w:link w:val="CommentSubject"/>
    <w:uiPriority w:val="99"/>
    <w:semiHidden/>
    <w:rsid w:val="005F5258"/>
    <w:rPr>
      <w:b/>
      <w:bCs/>
      <w:sz w:val="20"/>
      <w:szCs w:val="20"/>
    </w:rPr>
  </w:style>
  <w:style w:type="paragraph" w:styleId="BalloonText">
    <w:name w:val="Balloon Text"/>
    <w:basedOn w:val="Normal"/>
    <w:link w:val="BalloonTextChar"/>
    <w:uiPriority w:val="99"/>
    <w:semiHidden/>
    <w:unhideWhenUsed/>
    <w:rsid w:val="005F5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258"/>
    <w:rPr>
      <w:rFonts w:ascii="Segoe UI" w:hAnsi="Segoe UI" w:cs="Segoe UI"/>
      <w:sz w:val="18"/>
      <w:szCs w:val="18"/>
    </w:rPr>
  </w:style>
  <w:style w:type="paragraph" w:styleId="Revision">
    <w:name w:val="Revision"/>
    <w:hidden/>
    <w:uiPriority w:val="99"/>
    <w:semiHidden/>
    <w:rsid w:val="00EF130C"/>
    <w:pPr>
      <w:spacing w:after="0" w:line="240" w:lineRule="auto"/>
    </w:pPr>
  </w:style>
  <w:style w:type="character" w:customStyle="1" w:styleId="cf01">
    <w:name w:val="cf01"/>
    <w:basedOn w:val="DefaultParagraphFont"/>
    <w:rsid w:val="005B4B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2130">
      <w:bodyDiv w:val="1"/>
      <w:marLeft w:val="0"/>
      <w:marRight w:val="0"/>
      <w:marTop w:val="0"/>
      <w:marBottom w:val="0"/>
      <w:divBdr>
        <w:top w:val="none" w:sz="0" w:space="0" w:color="auto"/>
        <w:left w:val="none" w:sz="0" w:space="0" w:color="auto"/>
        <w:bottom w:val="none" w:sz="0" w:space="0" w:color="auto"/>
        <w:right w:val="none" w:sz="0" w:space="0" w:color="auto"/>
      </w:divBdr>
    </w:div>
    <w:div w:id="440498299">
      <w:bodyDiv w:val="1"/>
      <w:marLeft w:val="0"/>
      <w:marRight w:val="0"/>
      <w:marTop w:val="0"/>
      <w:marBottom w:val="0"/>
      <w:divBdr>
        <w:top w:val="none" w:sz="0" w:space="0" w:color="auto"/>
        <w:left w:val="none" w:sz="0" w:space="0" w:color="auto"/>
        <w:bottom w:val="none" w:sz="0" w:space="0" w:color="auto"/>
        <w:right w:val="none" w:sz="0" w:space="0" w:color="auto"/>
      </w:divBdr>
      <w:divsChild>
        <w:div w:id="1844970230">
          <w:marLeft w:val="0"/>
          <w:marRight w:val="0"/>
          <w:marTop w:val="0"/>
          <w:marBottom w:val="0"/>
          <w:divBdr>
            <w:top w:val="none" w:sz="0" w:space="0" w:color="auto"/>
            <w:left w:val="none" w:sz="0" w:space="0" w:color="auto"/>
            <w:bottom w:val="none" w:sz="0" w:space="0" w:color="auto"/>
            <w:right w:val="none" w:sz="0" w:space="0" w:color="auto"/>
          </w:divBdr>
        </w:div>
      </w:divsChild>
    </w:div>
    <w:div w:id="1641495099">
      <w:bodyDiv w:val="1"/>
      <w:marLeft w:val="0"/>
      <w:marRight w:val="0"/>
      <w:marTop w:val="0"/>
      <w:marBottom w:val="0"/>
      <w:divBdr>
        <w:top w:val="none" w:sz="0" w:space="0" w:color="auto"/>
        <w:left w:val="none" w:sz="0" w:space="0" w:color="auto"/>
        <w:bottom w:val="none" w:sz="0" w:space="0" w:color="auto"/>
        <w:right w:val="none" w:sz="0" w:space="0" w:color="auto"/>
      </w:divBdr>
    </w:div>
    <w:div w:id="1984700307">
      <w:bodyDiv w:val="1"/>
      <w:marLeft w:val="0"/>
      <w:marRight w:val="0"/>
      <w:marTop w:val="0"/>
      <w:marBottom w:val="0"/>
      <w:divBdr>
        <w:top w:val="none" w:sz="0" w:space="0" w:color="auto"/>
        <w:left w:val="none" w:sz="0" w:space="0" w:color="auto"/>
        <w:bottom w:val="none" w:sz="0" w:space="0" w:color="auto"/>
        <w:right w:val="none" w:sz="0" w:space="0" w:color="auto"/>
      </w:divBdr>
      <w:divsChild>
        <w:div w:id="4713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c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peoplespension.co.uk/the-peoples-pension-trustee/" TargetMode="External"/><Relationship Id="rId5" Type="http://schemas.openxmlformats.org/officeDocument/2006/relationships/hyperlink" Target="https://thepeoplespension.co.uk/accessibility/information-in-other-languag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4838</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Mulji</dc:creator>
  <cp:keywords/>
  <dc:description/>
  <cp:lastModifiedBy>Michelle Cooke</cp:lastModifiedBy>
  <cp:revision>4</cp:revision>
  <dcterms:created xsi:type="dcterms:W3CDTF">2022-11-21T10:03:00Z</dcterms:created>
  <dcterms:modified xsi:type="dcterms:W3CDTF">2022-11-21T15:00:00Z</dcterms:modified>
</cp:coreProperties>
</file>